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eastAsiaTheme="minorEastAsia" w:hAnsi="TimesNewRomanPSMT" w:cs="TimesNewRomanPSMT"/>
          <w:b/>
          <w:bCs/>
          <w:sz w:val="28"/>
          <w:szCs w:val="28"/>
        </w:rPr>
      </w:pPr>
      <w:r w:rsidRPr="00E37B2B">
        <w:rPr>
          <w:rFonts w:ascii="TimesNewRomanPSMT" w:eastAsiaTheme="minorEastAsia" w:hAnsi="TimesNewRomanPSMT" w:cs="TimesNewRomanPSMT"/>
          <w:b/>
          <w:bCs/>
          <w:sz w:val="28"/>
          <w:szCs w:val="28"/>
        </w:rPr>
        <w:t>Meta-artigo auto exemplificativo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eastAsiaTheme="minorEastAsia" w:hAnsi="TimesNewRomanPSMT" w:cs="TimesNewRomanPSMT"/>
          <w:b/>
          <w:bCs/>
          <w:i/>
          <w:iCs/>
          <w:sz w:val="28"/>
          <w:szCs w:val="28"/>
        </w:rPr>
      </w:pPr>
      <w:r w:rsidRPr="00E37B2B">
        <w:rPr>
          <w:rFonts w:ascii="TimesNewRomanPSMT" w:eastAsiaTheme="minorEastAsia" w:hAnsi="TimesNewRomanPSMT" w:cs="TimesNewRomanPSMT"/>
          <w:b/>
          <w:bCs/>
          <w:i/>
          <w:iCs/>
          <w:sz w:val="28"/>
          <w:szCs w:val="28"/>
        </w:rPr>
        <w:t>Self explaining</w:t>
      </w:r>
      <w:r w:rsidRPr="00E37B2B">
        <w:rPr>
          <w:rFonts w:ascii="TimesNewRomanPSMT" w:eastAsiaTheme="minorEastAsia" w:hAnsi="TimesNewRomanPSMT" w:cs="TimesNewRomanPSMT"/>
          <w:b/>
          <w:i/>
          <w:iCs/>
          <w:sz w:val="28"/>
          <w:szCs w:val="28"/>
        </w:rPr>
        <w:t xml:space="preserve"> meta-paper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  <w:i/>
          <w:iCs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  <w:iCs/>
        </w:rPr>
      </w:pPr>
      <w:r w:rsidRPr="00E37B2B">
        <w:rPr>
          <w:rFonts w:ascii="TimesNewRomanPSMT" w:eastAsiaTheme="minorEastAsia" w:hAnsi="TimesNewRomanPSMT" w:cs="TimesNewRomanPSMT"/>
          <w:iCs/>
        </w:rPr>
        <w:t xml:space="preserve">Artigo completo submetido a [dia] de [mês] </w:t>
      </w:r>
      <w:proofErr w:type="gramStart"/>
      <w:r w:rsidRPr="00E37B2B">
        <w:rPr>
          <w:rFonts w:ascii="TimesNewRomanPSMT" w:eastAsiaTheme="minorEastAsia" w:hAnsi="TimesNewRomanPSMT" w:cs="TimesNewRomanPSMT"/>
          <w:iCs/>
        </w:rPr>
        <w:t>de</w:t>
      </w:r>
      <w:proofErr w:type="gramEnd"/>
      <w:r w:rsidRPr="00E37B2B">
        <w:rPr>
          <w:rFonts w:ascii="TimesNewRomanPSMT" w:eastAsiaTheme="minorEastAsia" w:hAnsi="TimesNewRomanPSMT" w:cs="TimesNewRomanPSMT"/>
          <w:iCs/>
        </w:rPr>
        <w:t xml:space="preserve"> [ano]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  <w:i/>
          <w:iCs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eastAsiaTheme="minorEastAsia"/>
          <w:i/>
          <w:iCs/>
          <w:sz w:val="22"/>
          <w:szCs w:val="22"/>
        </w:rPr>
      </w:pPr>
      <w:r w:rsidRPr="00E37B2B">
        <w:rPr>
          <w:rFonts w:eastAsiaTheme="minorEastAsia"/>
          <w:b/>
          <w:bCs/>
          <w:i/>
          <w:iCs/>
          <w:sz w:val="22"/>
          <w:szCs w:val="22"/>
        </w:rPr>
        <w:t>Resumo:</w:t>
      </w:r>
      <w:r w:rsidRPr="00E37B2B">
        <w:rPr>
          <w:rFonts w:eastAsiaTheme="minorEastAsia"/>
          <w:i/>
          <w:iCs/>
          <w:sz w:val="22"/>
          <w:szCs w:val="22"/>
        </w:rPr>
        <w:t xml:space="preserve">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eastAsiaTheme="minorEastAsia"/>
          <w:i/>
          <w:iCs/>
          <w:sz w:val="22"/>
          <w:szCs w:val="22"/>
        </w:rPr>
      </w:pPr>
      <w:r w:rsidRPr="00E37B2B">
        <w:rPr>
          <w:rFonts w:eastAsiaTheme="minorEastAsia"/>
          <w:i/>
          <w:iCs/>
          <w:sz w:val="22"/>
          <w:szCs w:val="22"/>
        </w:rPr>
        <w:t xml:space="preserve">O resumo apresenta um sumário conciso do tema, do contexto, do objetivo, da abordagem (metodologia), dos resultados, e das conclusões, não excedendo 6 linhas: assim o objetivo deste artigo é auxiliar os criadores e autores de submissões no contexto da comunicação académica. Para isso apresenta-se uma sequência sistemática de sugestões de composição textual. Como resultado exemplifica-se este artigo auto-explicativo.Conclui-se refletindo sobre as vantagens da comunicação entre artistas em plataformas de disseminação.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eastAsiaTheme="minorEastAsia"/>
          <w:sz w:val="22"/>
          <w:szCs w:val="22"/>
        </w:rPr>
      </w:pPr>
      <w:proofErr w:type="gramStart"/>
      <w:r w:rsidRPr="00E37B2B">
        <w:rPr>
          <w:rFonts w:eastAsiaTheme="minorEastAsia"/>
          <w:b/>
          <w:bCs/>
          <w:i/>
          <w:iCs/>
          <w:sz w:val="22"/>
          <w:szCs w:val="22"/>
        </w:rPr>
        <w:t>Palavras chave</w:t>
      </w:r>
      <w:proofErr w:type="gramEnd"/>
      <w:r w:rsidRPr="00E37B2B">
        <w:rPr>
          <w:rFonts w:eastAsiaTheme="minorEastAsia"/>
          <w:b/>
          <w:bCs/>
          <w:i/>
          <w:iCs/>
          <w:sz w:val="22"/>
          <w:szCs w:val="22"/>
        </w:rPr>
        <w:t>:</w:t>
      </w:r>
      <w:r w:rsidRPr="00E37B2B">
        <w:rPr>
          <w:rFonts w:eastAsiaTheme="minorEastAsia"/>
          <w:i/>
          <w:iCs/>
          <w:sz w:val="22"/>
          <w:szCs w:val="22"/>
        </w:rPr>
        <w:t xml:space="preserve"> meta-artigo, conferência, normas de citação.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eastAsiaTheme="minorEastAsia"/>
          <w:i/>
          <w:iCs/>
          <w:sz w:val="22"/>
          <w:szCs w:val="22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eastAsiaTheme="minorEastAsia"/>
          <w:i/>
          <w:iCs/>
          <w:sz w:val="22"/>
          <w:szCs w:val="22"/>
          <w:lang w:val="en-US"/>
        </w:rPr>
      </w:pPr>
      <w:r w:rsidRPr="00E37B2B">
        <w:rPr>
          <w:rFonts w:eastAsiaTheme="minorEastAsia"/>
          <w:b/>
          <w:bCs/>
          <w:i/>
          <w:iCs/>
          <w:sz w:val="22"/>
          <w:szCs w:val="22"/>
          <w:lang w:val="en-US"/>
        </w:rPr>
        <w:t>Abstract:</w:t>
      </w:r>
      <w:r w:rsidRPr="00E37B2B">
        <w:rPr>
          <w:rFonts w:eastAsiaTheme="minorEastAsia"/>
          <w:i/>
          <w:iCs/>
          <w:sz w:val="22"/>
          <w:szCs w:val="22"/>
          <w:lang w:val="en-US"/>
        </w:rPr>
        <w:t xml:space="preserve">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eastAsiaTheme="minorEastAsia"/>
          <w:i/>
          <w:iCs/>
          <w:sz w:val="22"/>
          <w:szCs w:val="22"/>
          <w:shd w:val="clear" w:color="auto" w:fill="FFFFFF"/>
          <w:lang w:val="en-US"/>
        </w:rPr>
      </w:pPr>
      <w:r w:rsidRPr="00E37B2B">
        <w:rPr>
          <w:rFonts w:eastAsiaTheme="minorEastAsia"/>
          <w:i/>
          <w:iCs/>
          <w:sz w:val="22"/>
          <w:szCs w:val="22"/>
          <w:shd w:val="clear" w:color="auto" w:fill="FFFFFF"/>
          <w:lang w:val="en-US"/>
        </w:rPr>
        <w:t>The abstract presents a concise summary of the topic, the context, the objective, the approach (methodology), results, and conclusions, not exceeding 6 lines: so the goal of this article is to assist the creators and authors of submissions in the context of scholarly communication. It presents a systematic sequence of suggestions of textual composition. As a result this article exemplifies itself in a self-explanatory way. We conclude by reflecting on the advantages of communication between artists on dissemination platforms.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eastAsiaTheme="minorEastAsia"/>
          <w:sz w:val="22"/>
          <w:szCs w:val="22"/>
          <w:lang w:val="en-US"/>
        </w:rPr>
      </w:pPr>
      <w:r w:rsidRPr="00E37B2B">
        <w:rPr>
          <w:rFonts w:eastAsiaTheme="minorEastAsia"/>
          <w:b/>
          <w:bCs/>
          <w:i/>
          <w:iCs/>
          <w:sz w:val="22"/>
          <w:szCs w:val="22"/>
          <w:lang w:val="en-US"/>
        </w:rPr>
        <w:t>Keywords</w:t>
      </w:r>
      <w:r w:rsidRPr="00E37B2B">
        <w:rPr>
          <w:rFonts w:eastAsiaTheme="minorEastAsia"/>
          <w:i/>
          <w:iCs/>
          <w:sz w:val="22"/>
          <w:szCs w:val="22"/>
          <w:lang w:val="en-US"/>
        </w:rPr>
        <w:t>:</w:t>
      </w:r>
      <w:r w:rsidRPr="00E37B2B">
        <w:rPr>
          <w:rFonts w:eastAsiaTheme="minorEastAsia"/>
          <w:sz w:val="22"/>
          <w:szCs w:val="22"/>
          <w:lang w:val="en-US"/>
        </w:rPr>
        <w:t xml:space="preserve"> </w:t>
      </w:r>
      <w:r w:rsidRPr="00E37B2B">
        <w:rPr>
          <w:rFonts w:eastAsiaTheme="minorEastAsia"/>
          <w:i/>
          <w:iCs/>
          <w:sz w:val="22"/>
          <w:szCs w:val="22"/>
          <w:lang w:val="en-US"/>
        </w:rPr>
        <w:t>meta-paper, conference, referencing</w:t>
      </w:r>
      <w:r w:rsidRPr="00E37B2B">
        <w:rPr>
          <w:rFonts w:eastAsiaTheme="minorEastAsia"/>
          <w:sz w:val="22"/>
          <w:szCs w:val="22"/>
          <w:lang w:val="en-US"/>
        </w:rPr>
        <w:t xml:space="preserve">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  <w:lang w:val="en-US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  <w:b/>
          <w:bCs/>
        </w:rPr>
      </w:pPr>
      <w:r w:rsidRPr="00E37B2B">
        <w:rPr>
          <w:rFonts w:ascii="TimesNewRomanPSMT" w:eastAsiaTheme="minorEastAsia" w:hAnsi="TimesNewRomanPSMT" w:cs="TimesNewRomanPSMT"/>
          <w:b/>
          <w:bCs/>
        </w:rPr>
        <w:t>Introdução</w:t>
      </w:r>
      <w:r w:rsidRPr="00E37B2B">
        <w:rPr>
          <w:rFonts w:ascii="TimesNewRomanPSMT" w:eastAsiaTheme="minorEastAsia" w:hAnsi="TimesNewRomanPSMT" w:cs="TimesNewRomanPSMT"/>
        </w:rPr>
        <w:t xml:space="preserve">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De modo a conseguir-se reunir, nas </w:t>
      </w:r>
      <w:proofErr w:type="gramStart"/>
      <w:r w:rsidRPr="00E37B2B">
        <w:rPr>
          <w:rFonts w:ascii="TimesNewRomanPSMT" w:eastAsiaTheme="minorEastAsia" w:hAnsi="TimesNewRomanPSMT" w:cs="TimesNewRomanPSMT"/>
        </w:rPr>
        <w:t xml:space="preserve">revistas </w:t>
      </w:r>
      <w:proofErr w:type="gramEnd"/>
      <w:r w:rsidRPr="00E37B2B">
        <w:rPr>
          <w:rFonts w:ascii="TimesNewRomanPSMT" w:eastAsiaTheme="minorEastAsia" w:hAnsi="TimesNewRomanPSMT" w:cs="TimesNewRomanPSMT"/>
          <w:i/>
          <w:iCs/>
        </w:rPr>
        <w:t>:Estúdio</w:t>
      </w:r>
      <w:r w:rsidRPr="00E37B2B">
        <w:rPr>
          <w:rFonts w:ascii="TimesNewRomanPSMT" w:eastAsiaTheme="minorEastAsia" w:hAnsi="TimesNewRomanPSMT" w:cs="TimesNewRomanPSMT"/>
        </w:rPr>
        <w:t>,</w:t>
      </w:r>
      <w:r w:rsidRPr="00E37B2B">
        <w:rPr>
          <w:rFonts w:ascii="TimesNewRomanPSMT" w:eastAsiaTheme="minorEastAsia" w:hAnsi="TimesNewRomanPSMT" w:cs="TimesNewRomanPSMT"/>
          <w:i/>
        </w:rPr>
        <w:t xml:space="preserve"> Gama, e Croma</w:t>
      </w:r>
      <w:r w:rsidRPr="00E37B2B">
        <w:rPr>
          <w:rFonts w:ascii="TimesNewRomanPSMT" w:eastAsiaTheme="minorEastAsia" w:hAnsi="TimesNewRomanPSMT" w:cs="TimesNewRomanPSMT"/>
        </w:rPr>
        <w:t xml:space="preserve">, um conjunto consistente de artigos com a qualidade desejada, e também para facilitar o tratamento na preparação das edições, solicita-se aos autores que seja seguida a formatação do artigo tal como este documento foi composto. O modo mais fácil de o fazer é aproveitar este mesmo ficheiro e substituir o seu conteúdo.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Nesta secção de introdução apresenta-se o tema e o propósito do artigo em termos claros e sucintos. No que respeita ao tema, ele compreenderá, segundo a proposta da </w:t>
      </w:r>
      <w:r w:rsidRPr="00E37B2B">
        <w:rPr>
          <w:rFonts w:ascii="TimesNewRomanPSMT" w:eastAsiaTheme="minorEastAsia" w:hAnsi="TimesNewRomanPSMT" w:cs="TimesNewRomanPSMT"/>
          <w:iCs/>
        </w:rPr>
        <w:t>revista</w:t>
      </w:r>
      <w:r w:rsidRPr="00E37B2B">
        <w:rPr>
          <w:rFonts w:ascii="TimesNewRomanPSMT" w:eastAsiaTheme="minorEastAsia" w:hAnsi="TimesNewRomanPSMT" w:cs="TimesNewRomanPSMT"/>
        </w:rPr>
        <w:t xml:space="preserve">, a visita </w:t>
      </w:r>
      <w:proofErr w:type="gramStart"/>
      <w:r w:rsidRPr="00E37B2B">
        <w:rPr>
          <w:rFonts w:ascii="TimesNewRomanPSMT" w:eastAsiaTheme="minorEastAsia" w:hAnsi="TimesNewRomanPSMT" w:cs="TimesNewRomanPSMT"/>
        </w:rPr>
        <w:t>à(s</w:t>
      </w:r>
      <w:proofErr w:type="gramEnd"/>
      <w:r w:rsidRPr="00E37B2B">
        <w:rPr>
          <w:rFonts w:ascii="TimesNewRomanPSMT" w:eastAsiaTheme="minorEastAsia" w:hAnsi="TimesNewRomanPSMT" w:cs="TimesNewRomanPSMT"/>
        </w:rPr>
        <w:t xml:space="preserve">) obra(s) de um criador – e é este o local para uma apresentação muito breve dos dados pessoais desse criador, tais como datas e locais (nascimento, graduação) e um ou dois pontos relevantes da atividade profissional. Não se trata de uma biografia, apenas uma curta apresentação de enquadramento redigida com muita brevidade.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Nesta secção pode também enunciar-se a estrutura ou a metodologia de abordagem que se vai seguir no desenvolvimento.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  <w:b/>
          <w:bCs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  <w:b/>
          <w:bCs/>
        </w:rPr>
        <w:t>1. Modelo da página</w:t>
      </w:r>
      <w:r w:rsidRPr="00E37B2B">
        <w:rPr>
          <w:rFonts w:ascii="TimesNewRomanPSMT" w:eastAsiaTheme="minorEastAsia" w:hAnsi="TimesNewRomanPSMT" w:cs="TimesNewRomanPSMT"/>
        </w:rPr>
        <w:t xml:space="preserve"> [este é o título do primeiro capítulo do corpo do artigo; caso existam subcapítulos deverão ser numerados, por exemplo 1.1 ou 1.1.1]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Utiliza-se a fonte “Times New Roman” do Word para Windows (apenas </w:t>
      </w:r>
      <w:r w:rsidRPr="00E37B2B">
        <w:rPr>
          <w:rFonts w:ascii="TimesNewRomanPSMT" w:eastAsiaTheme="minorEastAsia" w:hAnsi="TimesNewRomanPSMT" w:cs="TimesNewRomanPSMT"/>
        </w:rPr>
        <w:lastRenderedPageBreak/>
        <w:t xml:space="preserve">“Times” se estiver a converter do Mac, não usar a “Times New Roman” do Mac). O espaçamento normal é de 1,5 exceto na zona dos resumos, ao início, blocos citados e na zona das referências bibliográficas, onde passa a um espaço. Todos os parágrafos têm espaçamento zero, antes e depois. Não se usa auto-texto exceto na numeração das páginas (à direita em baixo). As aspas, do tipo vertical, terminam após os sinais de pontuação, como por exemplo “fecho de aspas duplas.”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>Para que o processo de arbitragem (</w:t>
      </w:r>
      <w:r w:rsidRPr="00E37B2B">
        <w:rPr>
          <w:rFonts w:ascii="TimesNewRomanPSMT" w:eastAsiaTheme="minorEastAsia" w:hAnsi="TimesNewRomanPSMT" w:cs="TimesNewRomanPSMT"/>
          <w:i/>
          <w:iCs/>
        </w:rPr>
        <w:t>peer review</w:t>
      </w:r>
      <w:r w:rsidRPr="00E37B2B">
        <w:rPr>
          <w:rFonts w:ascii="TimesNewRomanPSMT" w:eastAsiaTheme="minorEastAsia" w:hAnsi="TimesNewRomanPSMT" w:cs="TimesNewRomanPSMT"/>
          <w:iCs/>
        </w:rPr>
        <w:t>)</w:t>
      </w:r>
      <w:r w:rsidRPr="00E37B2B">
        <w:rPr>
          <w:rFonts w:ascii="TimesNewRomanPSMT" w:eastAsiaTheme="minorEastAsia" w:hAnsi="TimesNewRomanPSMT" w:cs="TimesNewRomanPSMT"/>
        </w:rPr>
        <w:t xml:space="preserve"> seja do tipo </w:t>
      </w:r>
      <w:r w:rsidRPr="00E37B2B">
        <w:rPr>
          <w:rFonts w:ascii="TimesNewRomanPSMT" w:eastAsiaTheme="minorEastAsia" w:hAnsi="TimesNewRomanPSMT" w:cs="TimesNewRomanPSMT"/>
          <w:i/>
          <w:iCs/>
        </w:rPr>
        <w:t>double-blind,</w:t>
      </w:r>
      <w:r w:rsidRPr="00E37B2B">
        <w:rPr>
          <w:rFonts w:ascii="TimesNewRomanPSMT" w:eastAsiaTheme="minorEastAsia" w:hAnsi="TimesNewRomanPSMT" w:cs="TimesNewRomanPSMT"/>
        </w:rPr>
        <w:t xml:space="preserve"> eliminar deste ficheiro qualquer referência ao autor, inclusive das propriedades do ficheiro. Não fazer auto referências nesta fase da submissão.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  <w:b/>
          <w:bCs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  <w:b/>
          <w:bCs/>
        </w:rPr>
      </w:pPr>
      <w:r w:rsidRPr="00E37B2B">
        <w:rPr>
          <w:rFonts w:ascii="TimesNewRomanPSMT" w:eastAsiaTheme="minorEastAsia" w:hAnsi="TimesNewRomanPSMT" w:cs="TimesNewRomanPSMT"/>
          <w:b/>
          <w:bCs/>
        </w:rPr>
        <w:t>2. Citações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>A revista não permite o uso de notas de rodapé, ou pé de página.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>Observam-se como normas de citação as do sistema ‘autor, data,’ ou ‘Harvard,’ ou APA, sem o uso de notas de rodapé. Recordam-se alguns tipos de citações: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- Citação curta, incluída no correr do texto (com aspas verticais);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>- Citação longa, em bloco destacado (itálico, sem aspas).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- Citação conceptual (não há importação de texto </w:t>
      </w:r>
      <w:r w:rsidRPr="00E37B2B">
        <w:rPr>
          <w:rFonts w:ascii="TimesNewRomanPSMT" w:eastAsiaTheme="minorEastAsia" w:hAnsi="TimesNewRomanPSMT" w:cs="TimesNewRomanPSMT"/>
          <w:i/>
          <w:iCs/>
        </w:rPr>
        <w:t>ipsis verbis</w:t>
      </w:r>
      <w:r w:rsidRPr="00E37B2B">
        <w:rPr>
          <w:rFonts w:ascii="TimesNewRomanPSMT" w:eastAsiaTheme="minorEastAsia" w:hAnsi="TimesNewRomanPSMT" w:cs="TimesNewRomanPSMT"/>
        </w:rPr>
        <w:t>, e pode referir-se ao texto exterior de modo localizado ou em termos gerais).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Como exemplo da citação curta (menos de duas linhas) recorda-se que “quanto mais se restringe o campo, melhor se trabalha e com maior segurança” (Eco, 2004: 39).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>Como exemplo da citação longa, em bloco destacado, apontam-se os perigos de uma abordagem menos focada, referidos a propósito da escolha de um tema de tese: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  <w:i/>
          <w:iCs/>
          <w:sz w:val="22"/>
          <w:szCs w:val="22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  <w:sz w:val="22"/>
          <w:szCs w:val="22"/>
        </w:rPr>
      </w:pPr>
      <w:r w:rsidRPr="00E37B2B">
        <w:rPr>
          <w:rFonts w:ascii="TimesNewRomanPSMT" w:eastAsiaTheme="minorEastAsia" w:hAnsi="TimesNewRomanPSMT" w:cs="TimesNewRomanPSMT"/>
          <w:i/>
          <w:iCs/>
          <w:sz w:val="22"/>
          <w:szCs w:val="22"/>
        </w:rPr>
        <w:t>Se ele [o autor] se interessa por literatura, o seu primeiro impulso é fazer uma tese do género A Literatura Hoje, tendo de restringir o tema, quererá escolher A literatura italiana desde o pós</w:t>
      </w:r>
      <w:r w:rsidRPr="00E37B2B">
        <w:rPr>
          <w:rFonts w:ascii="MS Mincho" w:eastAsia="MS Mincho" w:hAnsi="MS Mincho" w:cs="MS Mincho" w:hint="eastAsia"/>
          <w:i/>
          <w:iCs/>
          <w:sz w:val="22"/>
          <w:szCs w:val="22"/>
        </w:rPr>
        <w:t>‑</w:t>
      </w:r>
      <w:r w:rsidRPr="00E37B2B">
        <w:rPr>
          <w:rFonts w:ascii="TimesNewRomanPSMT" w:eastAsiaTheme="minorEastAsia" w:hAnsi="TimesNewRomanPSMT" w:cs="TimesNewRomanPSMT"/>
          <w:i/>
          <w:iCs/>
          <w:sz w:val="22"/>
          <w:szCs w:val="22"/>
        </w:rPr>
        <w:t>guerra até aos anos 60. Estas teses são perigosíssimas</w:t>
      </w:r>
      <w:r w:rsidRPr="00E37B2B">
        <w:rPr>
          <w:rFonts w:ascii="TimesNewRomanPSMT" w:eastAsiaTheme="minorEastAsia" w:hAnsi="TimesNewRomanPSMT" w:cs="TimesNewRomanPSMT"/>
          <w:sz w:val="22"/>
          <w:szCs w:val="22"/>
        </w:rPr>
        <w:t xml:space="preserve"> (Eco, 2004: 35).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  <w:sz w:val="22"/>
          <w:szCs w:val="22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  <w:sz w:val="22"/>
          <w:szCs w:val="22"/>
        </w:rPr>
      </w:pPr>
      <w:r w:rsidRPr="00E37B2B">
        <w:rPr>
          <w:rFonts w:ascii="TimesNewRomanPSMT" w:eastAsiaTheme="minorEastAsia" w:hAnsi="TimesNewRomanPSMT" w:cs="TimesNewRomanPSMT"/>
          <w:sz w:val="22"/>
          <w:szCs w:val="22"/>
        </w:rPr>
        <w:t>[Itálico, Times 11, um espaço, referência ‘autor, data’ no final, fora da zona itálico]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 w:firstLine="709"/>
        <w:rPr>
          <w:rFonts w:ascii="TimesNewRomanPSMT" w:eastAsiaTheme="minorEastAsia" w:hAnsi="TimesNewRomanPSMT" w:cs="TimesNewRomanPSMT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Como exemplo da citação conceptual localizada exemplifica-se apontando que a escolha do assunto de um trabalho académico tem algumas regras recomendáveis (Eco, 2004: 33).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>Como exemplo de uma citação conceptual geral aponta-se a metodologia global quanto à redação de trabalhos académicos (Eco, 2004).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eastAsiaTheme="minorEastAsia"/>
          <w:bCs/>
        </w:rPr>
      </w:pPr>
      <w:r w:rsidRPr="00E37B2B">
        <w:rPr>
          <w:rFonts w:eastAsiaTheme="minorEastAsia"/>
          <w:bCs/>
        </w:rPr>
        <w:t xml:space="preserve">Sugere-se a consulta de atas dos congressos CSO anteriores (Queiroz, 2014) ou de alguns dos artigos publicados na </w:t>
      </w:r>
      <w:r w:rsidRPr="00E37B2B">
        <w:rPr>
          <w:rFonts w:eastAsiaTheme="minorEastAsia"/>
          <w:bCs/>
          <w:i/>
        </w:rPr>
        <w:t>Revista Estúdio</w:t>
      </w:r>
      <w:r w:rsidRPr="00E37B2B">
        <w:rPr>
          <w:rFonts w:eastAsiaTheme="minorEastAsia"/>
          <w:bCs/>
        </w:rPr>
        <w:t xml:space="preserve"> (Nascimento &amp; Maneschy, 2014), </w:t>
      </w:r>
      <w:r w:rsidRPr="00E37B2B">
        <w:rPr>
          <w:rFonts w:eastAsiaTheme="minorEastAsia"/>
          <w:bCs/>
        </w:rPr>
        <w:lastRenderedPageBreak/>
        <w:t xml:space="preserve">na </w:t>
      </w:r>
      <w:r w:rsidRPr="00E37B2B">
        <w:rPr>
          <w:rFonts w:eastAsiaTheme="minorEastAsia"/>
          <w:bCs/>
          <w:i/>
        </w:rPr>
        <w:t>Revista Gama</w:t>
      </w:r>
      <w:r w:rsidRPr="00E37B2B">
        <w:rPr>
          <w:rFonts w:eastAsiaTheme="minorEastAsia"/>
          <w:bCs/>
        </w:rPr>
        <w:t xml:space="preserve"> (Barachini, 2014), ou na </w:t>
      </w:r>
      <w:r w:rsidRPr="00E37B2B">
        <w:rPr>
          <w:rFonts w:eastAsiaTheme="minorEastAsia"/>
          <w:bCs/>
          <w:i/>
        </w:rPr>
        <w:t>Revista Croma</w:t>
      </w:r>
      <w:r w:rsidRPr="00E37B2B">
        <w:rPr>
          <w:rFonts w:eastAsiaTheme="minorEastAsia"/>
          <w:bCs/>
        </w:rPr>
        <w:t xml:space="preserve"> (Barrio de Mendoza, 2014) para citar apenas alguns e exemplificar as referências bibliográficas respetivas, ao final deste texto.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eastAsiaTheme="minorEastAsia"/>
          <w:bCs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  <w:b/>
          <w:bCs/>
        </w:rPr>
      </w:pPr>
      <w:r w:rsidRPr="00E37B2B">
        <w:rPr>
          <w:rFonts w:ascii="TimesNewRomanPSMT" w:eastAsiaTheme="minorEastAsia" w:hAnsi="TimesNewRomanPSMT" w:cs="TimesNewRomanPSMT"/>
          <w:b/>
          <w:bCs/>
        </w:rPr>
        <w:t>3. Figuras ou Quadros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>No texto do artigo, os extra-textos podem ser apenas de dois tipos: Figuras ou Quadros.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Na categoria Figura inclui-se todo o tipo de imagem, desenho, fotografia, gráfico, e é legendada por baixo. Apresenta-se uma Figura a título meramente ilustrativo quanto à apresentação, legendagem e ancoragem. A Figura tem sempre a ‘âncora’ no correr do texto, como se faz nesta mesma frase (Figura 1).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  <w:noProof/>
        </w:rPr>
        <w:drawing>
          <wp:inline distT="0" distB="0" distL="0" distR="0">
            <wp:extent cx="2511425" cy="3111500"/>
            <wp:effectExtent l="19050" t="0" r="3175" b="0"/>
            <wp:docPr id="10" name="Imagem 1" descr="Cardos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oso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eastAsiaTheme="minorEastAsia" w:hAnsi="TimesNewRomanPSMT" w:cs="TimesNewRomanPSMT"/>
          <w:sz w:val="20"/>
          <w:szCs w:val="20"/>
        </w:rPr>
      </w:pPr>
      <w:r w:rsidRPr="00E37B2B">
        <w:rPr>
          <w:rFonts w:ascii="TimesNewRomanPSMT" w:eastAsiaTheme="minorEastAsia" w:hAnsi="TimesNewRomanPSMT" w:cs="TimesNewRomanPSMT"/>
          <w:b/>
          <w:bCs/>
          <w:sz w:val="20"/>
          <w:szCs w:val="20"/>
        </w:rPr>
        <w:t>Figura 1.</w:t>
      </w:r>
      <w:r w:rsidRPr="00E37B2B">
        <w:rPr>
          <w:rFonts w:ascii="TimesNewRomanPSMT" w:eastAsiaTheme="minorEastAsia" w:hAnsi="TimesNewRomanPSMT" w:cs="TimesNewRomanPSMT"/>
          <w:sz w:val="20"/>
          <w:szCs w:val="20"/>
        </w:rPr>
        <w:t xml:space="preserve"> Amadeo de Souza-Cardoso, </w:t>
      </w:r>
      <w:r w:rsidRPr="00E37B2B">
        <w:rPr>
          <w:rFonts w:ascii="TimesNewRomanPSMT" w:eastAsiaTheme="minorEastAsia" w:hAnsi="TimesNewRomanPSMT" w:cs="TimesNewRomanPSMT"/>
          <w:i/>
          <w:sz w:val="20"/>
          <w:szCs w:val="20"/>
        </w:rPr>
        <w:t>Entrada</w:t>
      </w:r>
      <w:r w:rsidRPr="00E37B2B">
        <w:rPr>
          <w:rFonts w:ascii="TimesNewRomanPSMT" w:eastAsiaTheme="minorEastAsia" w:hAnsi="TimesNewRomanPSMT" w:cs="TimesNewRomanPSMT"/>
          <w:sz w:val="20"/>
          <w:szCs w:val="20"/>
        </w:rPr>
        <w:t>, 1917. Óleo e colagem sobre tela (espelho, madeira, cola e areia). Coleção Centro de Arte Moderna, Fundação Calouste Gulbenkian, Lisboa. Fonte: http://commons.wikimedia.org/wiki/Portugal#mediaviewer/File:Cardoso01.jpg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 w:firstLine="709"/>
        <w:rPr>
          <w:rFonts w:ascii="TimesNewRomanPSMT" w:eastAsiaTheme="minorEastAsia" w:hAnsi="TimesNewRomanPSMT" w:cs="TimesNewRomanPSMT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O autor do artigo é o responsável pela autorização da reprodução da obra (notar que só os autores da CE que faleceram há mais de 70 anos têm a reprodução do seu trabalho bidimensional em domínio público).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>Se o autor do artigo é o autor da fotografia ou de outro qualquer gráfico assinala o facto como se exemplifica na Figura 2.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 w:firstLine="709"/>
        <w:rPr>
          <w:rFonts w:ascii="TimesNewRomanPSMT" w:eastAsiaTheme="minorEastAsia" w:hAnsi="TimesNewRomanPSMT" w:cs="TimesNewRomanPSMT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  <w:noProof/>
        </w:rPr>
        <w:lastRenderedPageBreak/>
        <w:drawing>
          <wp:inline distT="0" distB="0" distL="0" distR="0">
            <wp:extent cx="5396230" cy="3597275"/>
            <wp:effectExtent l="19050" t="0" r="0" b="0"/>
            <wp:docPr id="11" name="Imagem 2" descr="DSC0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7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eastAsiaTheme="minorEastAsia" w:hAnsi="TimesNewRomanPSMT" w:cs="TimesNewRomanPSMT"/>
          <w:sz w:val="20"/>
          <w:szCs w:val="20"/>
        </w:rPr>
      </w:pPr>
      <w:r w:rsidRPr="00E37B2B">
        <w:rPr>
          <w:rFonts w:ascii="TimesNewRomanPSMT" w:eastAsiaTheme="minorEastAsia" w:hAnsi="TimesNewRomanPSMT" w:cs="TimesNewRomanPSMT"/>
          <w:b/>
          <w:bCs/>
          <w:sz w:val="20"/>
          <w:szCs w:val="20"/>
        </w:rPr>
        <w:t>Figura 2</w:t>
      </w:r>
      <w:r w:rsidRPr="00E37B2B">
        <w:rPr>
          <w:rFonts w:ascii="TimesNewRomanPSMT" w:eastAsiaTheme="minorEastAsia" w:hAnsi="TimesNewRomanPSMT" w:cs="TimesNewRomanPSMT"/>
          <w:sz w:val="20"/>
          <w:szCs w:val="20"/>
        </w:rPr>
        <w:t>. Uma sessão plenária do I Congresso Internacional CSO’2010, na Faculdade de Belas-Artes, Universidade de Lisboa, Portugal. Fonte: própria.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 w:firstLine="709"/>
        <w:rPr>
          <w:rFonts w:ascii="TimesNewRomanPSMT" w:eastAsiaTheme="minorEastAsia" w:hAnsi="TimesNewRomanPSMT" w:cs="TimesNewRomanPSMT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Caso o autor sinta dificuldade em manipular as imagens inseridas no texto pode optar por apresentá-las no final, após o capítulo ‘Referências,’ de modo sequente, uma por página, e com a respetiva legenda. Todas as Figuras e Quadros têm de ser referidas no correr do texto, com a respetiva ‘âncora.’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Na categoria ‘Quadro’ estão as tabelas que, ao invés, são legendadas por cima. Também têm sempre a sua âncora no texto, como se faz nesta mesma frase (Quadro 1).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 w:firstLine="709"/>
        <w:rPr>
          <w:rFonts w:ascii="TimesNewRomanPSMT" w:eastAsiaTheme="minorEastAsia" w:hAnsi="TimesNewRomanPSMT" w:cs="TimesNewRomanPSMT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eastAsiaTheme="minorEastAsia" w:hAnsi="TimesNewRomanPSMT" w:cs="TimesNewRomanPSMT"/>
          <w:sz w:val="20"/>
          <w:szCs w:val="20"/>
        </w:rPr>
      </w:pPr>
      <w:r w:rsidRPr="00E37B2B">
        <w:rPr>
          <w:rFonts w:ascii="TimesNewRomanPSMT" w:eastAsiaTheme="minorEastAsia" w:hAnsi="TimesNewRomanPSMT" w:cs="TimesNewRomanPSMT"/>
          <w:b/>
          <w:bCs/>
          <w:sz w:val="20"/>
          <w:szCs w:val="20"/>
        </w:rPr>
        <w:t>Quadro 1.</w:t>
      </w:r>
      <w:r w:rsidRPr="00E37B2B">
        <w:rPr>
          <w:rFonts w:ascii="TimesNewRomanPSMT" w:eastAsiaTheme="minorEastAsia" w:hAnsi="TimesNewRomanPSMT" w:cs="TimesNewRomanPSMT"/>
          <w:sz w:val="20"/>
          <w:szCs w:val="20"/>
        </w:rPr>
        <w:t xml:space="preserve"> Exemplo de um Quadro. Fonte: autor.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60"/>
        <w:gridCol w:w="1560"/>
      </w:tblGrid>
      <w:tr w:rsidR="00E37B2B" w:rsidRPr="00E37B2B" w:rsidTr="00657646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37B2B" w:rsidRPr="00E37B2B" w:rsidRDefault="00E37B2B" w:rsidP="00E37B2B">
            <w:pPr>
              <w:widowControl w:val="0"/>
              <w:autoSpaceDE w:val="0"/>
              <w:autoSpaceDN w:val="0"/>
              <w:adjustRightInd w:val="0"/>
              <w:ind w:right="-6" w:firstLine="709"/>
              <w:rPr>
                <w:rFonts w:ascii="TimesNewRomanPSMT" w:eastAsiaTheme="minorEastAsia" w:hAnsi="TimesNewRomanPSMT" w:cs="TimesNewRomanPSMT"/>
              </w:rPr>
            </w:pPr>
            <w:r w:rsidRPr="00E37B2B">
              <w:rPr>
                <w:rFonts w:ascii="TimesNewRomanPSMT" w:eastAsiaTheme="minorEastAsia" w:hAnsi="TimesNewRomanPSMT" w:cs="TimesNewRomanPSM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37B2B" w:rsidRPr="00E37B2B" w:rsidRDefault="00E37B2B" w:rsidP="00E37B2B">
            <w:pPr>
              <w:widowControl w:val="0"/>
              <w:autoSpaceDE w:val="0"/>
              <w:autoSpaceDN w:val="0"/>
              <w:adjustRightInd w:val="0"/>
              <w:ind w:right="-6" w:firstLine="709"/>
              <w:rPr>
                <w:rFonts w:ascii="TimesNewRomanPSMT" w:eastAsiaTheme="minorEastAsia" w:hAnsi="TimesNewRomanPSMT" w:cs="TimesNewRomanPSMT"/>
              </w:rPr>
            </w:pPr>
            <w:r w:rsidRPr="00E37B2B">
              <w:rPr>
                <w:rFonts w:ascii="TimesNewRomanPSMT" w:eastAsiaTheme="minorEastAsia" w:hAnsi="TimesNewRomanPSMT" w:cs="TimesNewRomanPSM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E37B2B" w:rsidRPr="00E37B2B" w:rsidRDefault="00E37B2B" w:rsidP="00E37B2B">
            <w:pPr>
              <w:widowControl w:val="0"/>
              <w:autoSpaceDE w:val="0"/>
              <w:autoSpaceDN w:val="0"/>
              <w:adjustRightInd w:val="0"/>
              <w:ind w:right="-6" w:firstLine="709"/>
              <w:rPr>
                <w:rFonts w:ascii="TimesNewRomanPSMT" w:eastAsiaTheme="minorEastAsia" w:hAnsi="TimesNewRomanPSMT" w:cs="TimesNewRomanPSMT"/>
              </w:rPr>
            </w:pPr>
            <w:r w:rsidRPr="00E37B2B">
              <w:rPr>
                <w:rFonts w:ascii="TimesNewRomanPSMT" w:eastAsiaTheme="minorEastAsia" w:hAnsi="TimesNewRomanPSMT" w:cs="TimesNewRomanPSMT"/>
              </w:rPr>
              <w:t>3</w:t>
            </w:r>
          </w:p>
        </w:tc>
      </w:tr>
      <w:tr w:rsidR="00E37B2B" w:rsidRPr="00E37B2B" w:rsidTr="0065764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37B2B" w:rsidRPr="00E37B2B" w:rsidRDefault="00E37B2B" w:rsidP="00E37B2B">
            <w:pPr>
              <w:widowControl w:val="0"/>
              <w:autoSpaceDE w:val="0"/>
              <w:autoSpaceDN w:val="0"/>
              <w:adjustRightInd w:val="0"/>
              <w:ind w:right="-6" w:firstLine="709"/>
              <w:rPr>
                <w:rFonts w:ascii="TimesNewRomanPSMT" w:eastAsiaTheme="minorEastAsia" w:hAnsi="TimesNewRomanPSMT" w:cs="TimesNewRomanPSMT"/>
              </w:rPr>
            </w:pPr>
            <w:r w:rsidRPr="00E37B2B">
              <w:rPr>
                <w:rFonts w:ascii="TimesNewRomanPSMT" w:eastAsiaTheme="minorEastAsia" w:hAnsi="TimesNewRomanPSMT" w:cs="TimesNewRomanPSM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37B2B" w:rsidRPr="00E37B2B" w:rsidRDefault="00E37B2B" w:rsidP="00E37B2B">
            <w:pPr>
              <w:widowControl w:val="0"/>
              <w:autoSpaceDE w:val="0"/>
              <w:autoSpaceDN w:val="0"/>
              <w:adjustRightInd w:val="0"/>
              <w:ind w:right="-6" w:firstLine="709"/>
              <w:rPr>
                <w:rFonts w:ascii="TimesNewRomanPSMT" w:eastAsiaTheme="minorEastAsia" w:hAnsi="TimesNewRomanPSMT" w:cs="TimesNewRomanPSMT"/>
              </w:rPr>
            </w:pPr>
            <w:r w:rsidRPr="00E37B2B">
              <w:rPr>
                <w:rFonts w:ascii="TimesNewRomanPSMT" w:eastAsiaTheme="minorEastAsia" w:hAnsi="TimesNewRomanPSMT" w:cs="TimesNewRomanPSM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E37B2B" w:rsidRPr="00E37B2B" w:rsidRDefault="00E37B2B" w:rsidP="00E37B2B">
            <w:pPr>
              <w:widowControl w:val="0"/>
              <w:autoSpaceDE w:val="0"/>
              <w:autoSpaceDN w:val="0"/>
              <w:adjustRightInd w:val="0"/>
              <w:ind w:right="-6" w:firstLine="709"/>
              <w:rPr>
                <w:rFonts w:ascii="TimesNewRomanPSMT" w:eastAsiaTheme="minorEastAsia" w:hAnsi="TimesNewRomanPSMT" w:cs="TimesNewRomanPSMT"/>
              </w:rPr>
            </w:pPr>
            <w:r w:rsidRPr="00E37B2B">
              <w:rPr>
                <w:rFonts w:ascii="TimesNewRomanPSMT" w:eastAsiaTheme="minorEastAsia" w:hAnsi="TimesNewRomanPSMT" w:cs="TimesNewRomanPSMT"/>
              </w:rPr>
              <w:t>6</w:t>
            </w:r>
          </w:p>
        </w:tc>
      </w:tr>
      <w:tr w:rsidR="00E37B2B" w:rsidRPr="00E37B2B" w:rsidTr="00657646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37B2B" w:rsidRPr="00E37B2B" w:rsidRDefault="00E37B2B" w:rsidP="00E37B2B">
            <w:pPr>
              <w:widowControl w:val="0"/>
              <w:autoSpaceDE w:val="0"/>
              <w:autoSpaceDN w:val="0"/>
              <w:adjustRightInd w:val="0"/>
              <w:ind w:right="-6" w:firstLine="709"/>
              <w:rPr>
                <w:rFonts w:ascii="TimesNewRomanPSMT" w:eastAsiaTheme="minorEastAsia" w:hAnsi="TimesNewRomanPSMT" w:cs="TimesNewRomanPSMT"/>
              </w:rPr>
            </w:pPr>
            <w:r w:rsidRPr="00E37B2B">
              <w:rPr>
                <w:rFonts w:ascii="TimesNewRomanPSMT" w:eastAsiaTheme="minorEastAsia" w:hAnsi="TimesNewRomanPSMT" w:cs="TimesNewRomanPSM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E37B2B" w:rsidRPr="00E37B2B" w:rsidRDefault="00E37B2B" w:rsidP="00E37B2B">
            <w:pPr>
              <w:widowControl w:val="0"/>
              <w:autoSpaceDE w:val="0"/>
              <w:autoSpaceDN w:val="0"/>
              <w:adjustRightInd w:val="0"/>
              <w:ind w:right="-6" w:firstLine="709"/>
              <w:rPr>
                <w:rFonts w:ascii="TimesNewRomanPSMT" w:eastAsiaTheme="minorEastAsia" w:hAnsi="TimesNewRomanPSMT" w:cs="TimesNewRomanPSMT"/>
              </w:rPr>
            </w:pPr>
            <w:r w:rsidRPr="00E37B2B">
              <w:rPr>
                <w:rFonts w:ascii="TimesNewRomanPSMT" w:eastAsiaTheme="minorEastAsia" w:hAnsi="TimesNewRomanPSMT" w:cs="TimesNewRomanPSM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E37B2B" w:rsidRPr="00E37B2B" w:rsidRDefault="00E37B2B" w:rsidP="00E37B2B">
            <w:pPr>
              <w:widowControl w:val="0"/>
              <w:autoSpaceDE w:val="0"/>
              <w:autoSpaceDN w:val="0"/>
              <w:adjustRightInd w:val="0"/>
              <w:ind w:right="-6" w:firstLine="709"/>
              <w:rPr>
                <w:rFonts w:ascii="TimesNewRomanPSMT" w:eastAsiaTheme="minorEastAsia" w:hAnsi="TimesNewRomanPSMT" w:cs="TimesNewRomanPSMT"/>
              </w:rPr>
            </w:pPr>
            <w:r w:rsidRPr="00E37B2B">
              <w:rPr>
                <w:rFonts w:ascii="TimesNewRomanPSMT" w:eastAsiaTheme="minorEastAsia" w:hAnsi="TimesNewRomanPSMT" w:cs="TimesNewRomanPSMT"/>
              </w:rPr>
              <w:t>9</w:t>
            </w:r>
          </w:p>
        </w:tc>
      </w:tr>
    </w:tbl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 w:firstLine="709"/>
        <w:rPr>
          <w:rFonts w:ascii="TimesNewRomanPSMT" w:eastAsiaTheme="minorEastAsia" w:hAnsi="TimesNewRomanPSMT" w:cs="TimesNewRomanPSMT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  <w:b/>
          <w:bCs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  <w:b/>
          <w:bCs/>
        </w:rPr>
      </w:pPr>
      <w:r w:rsidRPr="00E37B2B">
        <w:rPr>
          <w:rFonts w:ascii="TimesNewRomanPSMT" w:eastAsiaTheme="minorEastAsia" w:hAnsi="TimesNewRomanPSMT" w:cs="TimesNewRomanPSMT"/>
          <w:b/>
          <w:bCs/>
        </w:rPr>
        <w:t>4. Sobre as referências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>O capítulo ‘Referências’ apresenta as fontes citadas no correr do texto, e apenas essas. O capítulo ‘Referências’ é único e não é dividido em subcapítulos.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  <w:b/>
          <w:bCs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  <w:b/>
          <w:bCs/>
        </w:rPr>
        <w:t>Conclusão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 xml:space="preserve">A Conclusão, a exemplo da Introdução e das Referências, não é uma secção numerada e apresenta uma síntese que resume e torna mais claro o corpo e argumento </w:t>
      </w:r>
      <w:r w:rsidRPr="00E37B2B">
        <w:rPr>
          <w:rFonts w:ascii="TimesNewRomanPSMT" w:eastAsiaTheme="minorEastAsia" w:hAnsi="TimesNewRomanPSMT" w:cs="TimesNewRomanPSMT"/>
        </w:rPr>
        <w:lastRenderedPageBreak/>
        <w:t>do artigo, apresentando os pontos de vista com concisão.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spacing w:line="360" w:lineRule="auto"/>
        <w:ind w:right="-6" w:firstLine="709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</w:rPr>
        <w:t>O presente artigo poderá contribuir para estabelecer uma norma de redação de comunicações aplicável às publicações Estúdio, Gama e Croma, promovendo ao mesmo tempo o conhecimento produzido por artistas e comunicado por outros artistas: trata-se de estabelecer patamares eficazes de comunicação entre criadores dentro de uma orientação descentrada e atenta aos novos discursos sobre arte.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</w:rPr>
      </w:pPr>
      <w:r w:rsidRPr="00E37B2B">
        <w:rPr>
          <w:rFonts w:ascii="TimesNewRomanPSMT" w:eastAsiaTheme="minorEastAsia" w:hAnsi="TimesNewRomanPSMT" w:cs="TimesNewRomanPSMT"/>
          <w:b/>
          <w:bCs/>
        </w:rPr>
        <w:t>Referências</w:t>
      </w:r>
      <w:r w:rsidRPr="00E37B2B">
        <w:rPr>
          <w:rFonts w:ascii="TimesNewRomanPSMT" w:eastAsiaTheme="minorEastAsia" w:hAnsi="TimesNewRomanPSMT" w:cs="TimesNewRomanPSMT"/>
        </w:rPr>
        <w:t xml:space="preserve">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left="709" w:right="-6" w:hanging="709"/>
        <w:rPr>
          <w:rFonts w:ascii="TimesNewRomanPSMT" w:eastAsiaTheme="minorEastAsia" w:hAnsi="TimesNewRomanPSMT" w:cs="TimesNewRomanPSMT"/>
        </w:rPr>
      </w:pP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left="709" w:right="-6" w:hanging="709"/>
        <w:rPr>
          <w:rFonts w:eastAsiaTheme="minorEastAsia"/>
          <w:bCs/>
          <w:sz w:val="22"/>
          <w:szCs w:val="22"/>
        </w:rPr>
      </w:pPr>
      <w:r w:rsidRPr="00E37B2B">
        <w:rPr>
          <w:rFonts w:eastAsiaTheme="minorEastAsia"/>
          <w:bCs/>
          <w:sz w:val="22"/>
          <w:szCs w:val="22"/>
        </w:rPr>
        <w:t xml:space="preserve">Barachini, Teresinha (2014) “José Resende: gestos que estruturam espaços.” </w:t>
      </w:r>
      <w:r w:rsidRPr="00E37B2B">
        <w:rPr>
          <w:rFonts w:eastAsiaTheme="minorEastAsia"/>
          <w:bCs/>
          <w:i/>
          <w:sz w:val="22"/>
          <w:szCs w:val="22"/>
        </w:rPr>
        <w:t>Revista Gama, Estudos Artísticos</w:t>
      </w:r>
      <w:r w:rsidRPr="00E37B2B">
        <w:rPr>
          <w:rFonts w:eastAsiaTheme="minorEastAsia"/>
          <w:bCs/>
          <w:sz w:val="22"/>
          <w:szCs w:val="22"/>
        </w:rPr>
        <w:t>. ISSN 2182-8539 e-ISSN2182-8725. Vol. 2 (4): 145-153.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left="709" w:right="-6" w:hanging="709"/>
        <w:rPr>
          <w:rFonts w:eastAsiaTheme="minorEastAsia"/>
          <w:sz w:val="22"/>
          <w:szCs w:val="22"/>
        </w:rPr>
      </w:pPr>
      <w:r w:rsidRPr="00E37B2B">
        <w:rPr>
          <w:rFonts w:eastAsiaTheme="minorEastAsia"/>
          <w:bCs/>
          <w:sz w:val="22"/>
          <w:szCs w:val="22"/>
          <w:lang w:val="es-ES"/>
        </w:rPr>
        <w:t xml:space="preserve">Barrio de Mendoza, Mihaela Radulescu (2014) “Arte e historia: El ‘Artículo 6’ de Lucia Cuba.” </w:t>
      </w:r>
      <w:r w:rsidRPr="00E37B2B">
        <w:rPr>
          <w:rFonts w:eastAsiaTheme="minorEastAsia"/>
          <w:bCs/>
          <w:i/>
          <w:sz w:val="22"/>
          <w:szCs w:val="22"/>
        </w:rPr>
        <w:t>Revista Croma, Estudos Artísticos</w:t>
      </w:r>
      <w:r w:rsidRPr="00E37B2B">
        <w:rPr>
          <w:rFonts w:eastAsiaTheme="minorEastAsia"/>
          <w:bCs/>
          <w:sz w:val="22"/>
          <w:szCs w:val="22"/>
        </w:rPr>
        <w:t>. ISSN 2182-8547, e-ISSN 21828717. Vol. 2 (3): 77-86.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left="709" w:right="-6" w:hanging="709"/>
        <w:rPr>
          <w:rFonts w:eastAsiaTheme="minorEastAsia"/>
          <w:sz w:val="22"/>
          <w:szCs w:val="22"/>
        </w:rPr>
      </w:pPr>
      <w:r w:rsidRPr="00E37B2B">
        <w:rPr>
          <w:rFonts w:eastAsiaTheme="minorEastAsia"/>
          <w:sz w:val="22"/>
          <w:szCs w:val="22"/>
        </w:rPr>
        <w:t xml:space="preserve">Eco, Umberto (2007) </w:t>
      </w:r>
      <w:r w:rsidRPr="00E37B2B">
        <w:rPr>
          <w:rFonts w:eastAsiaTheme="minorEastAsia"/>
          <w:i/>
          <w:iCs/>
          <w:sz w:val="22"/>
          <w:szCs w:val="22"/>
        </w:rPr>
        <w:t>Como se Faz uma Tese em Ciências Humanas</w:t>
      </w:r>
      <w:r w:rsidRPr="00E37B2B">
        <w:rPr>
          <w:rFonts w:eastAsiaTheme="minorEastAsia"/>
          <w:sz w:val="22"/>
          <w:szCs w:val="22"/>
        </w:rPr>
        <w:t>. Lisboa: Presença. ISBN: 978-972-23-1351-3</w:t>
      </w:r>
    </w:p>
    <w:p w:rsidR="00E37B2B" w:rsidRPr="00E37B2B" w:rsidRDefault="00E37B2B" w:rsidP="00E37B2B">
      <w:pPr>
        <w:ind w:left="709" w:hanging="709"/>
        <w:rPr>
          <w:rFonts w:eastAsiaTheme="minorEastAsia"/>
          <w:sz w:val="22"/>
          <w:szCs w:val="22"/>
          <w:lang w:val="es-ES"/>
        </w:rPr>
      </w:pPr>
      <w:r w:rsidRPr="00E37B2B">
        <w:rPr>
          <w:rFonts w:eastAsiaTheme="minorEastAsia"/>
          <w:sz w:val="22"/>
          <w:szCs w:val="22"/>
        </w:rPr>
        <w:t>Nascimento, Cinthya Marques do &amp; Maneschy, Orlando Franco (2014) “Sinval Garcia e os fluxos incessantes em Samsara.”</w:t>
      </w:r>
      <w:r w:rsidRPr="00E37B2B">
        <w:rPr>
          <w:rFonts w:eastAsiaTheme="minorEastAsia"/>
          <w:i/>
          <w:sz w:val="22"/>
          <w:szCs w:val="22"/>
        </w:rPr>
        <w:t xml:space="preserve"> </w:t>
      </w:r>
      <w:proofErr w:type="gramStart"/>
      <w:r w:rsidRPr="00E37B2B">
        <w:rPr>
          <w:rFonts w:eastAsiaTheme="minorEastAsia"/>
          <w:i/>
          <w:sz w:val="22"/>
          <w:szCs w:val="22"/>
          <w:lang w:val="es-ES_tradnl"/>
        </w:rPr>
        <w:t>Revista :Estúdio</w:t>
      </w:r>
      <w:proofErr w:type="gramEnd"/>
      <w:r w:rsidRPr="00E37B2B">
        <w:rPr>
          <w:rFonts w:eastAsiaTheme="minorEastAsia"/>
          <w:i/>
          <w:sz w:val="22"/>
          <w:szCs w:val="22"/>
          <w:lang w:val="es-ES_tradnl"/>
        </w:rPr>
        <w:t>.</w:t>
      </w:r>
      <w:r w:rsidRPr="00E37B2B">
        <w:rPr>
          <w:rFonts w:eastAsiaTheme="minorEastAsia"/>
          <w:sz w:val="22"/>
          <w:szCs w:val="22"/>
          <w:lang w:val="es-ES_tradnl"/>
        </w:rPr>
        <w:t xml:space="preserve"> </w:t>
      </w:r>
      <w:r w:rsidRPr="00E37B2B">
        <w:rPr>
          <w:rFonts w:eastAsiaTheme="minorEastAsia"/>
          <w:sz w:val="22"/>
          <w:szCs w:val="22"/>
          <w:lang w:val="es-ES"/>
        </w:rPr>
        <w:t>ISSN: 1647-6158 eISSN: 1647-7316. Vol. 5 (10): 90-96.</w:t>
      </w:r>
    </w:p>
    <w:p w:rsidR="00E37B2B" w:rsidRPr="00E37B2B" w:rsidRDefault="00E37B2B" w:rsidP="00E37B2B">
      <w:pPr>
        <w:ind w:left="709" w:hanging="709"/>
        <w:rPr>
          <w:rFonts w:eastAsiaTheme="minorEastAsia"/>
          <w:sz w:val="22"/>
          <w:szCs w:val="22"/>
        </w:rPr>
      </w:pPr>
      <w:r w:rsidRPr="00E37B2B">
        <w:rPr>
          <w:rFonts w:eastAsiaTheme="minorEastAsia"/>
          <w:sz w:val="22"/>
          <w:szCs w:val="22"/>
          <w:shd w:val="clear" w:color="auto" w:fill="FFFFFF"/>
        </w:rPr>
        <w:t>Queiroz, João Paulo (Ed.) (</w:t>
      </w:r>
      <w:proofErr w:type="gramStart"/>
      <w:r w:rsidRPr="00E37B2B">
        <w:rPr>
          <w:rFonts w:eastAsiaTheme="minorEastAsia"/>
          <w:sz w:val="22"/>
          <w:szCs w:val="22"/>
          <w:shd w:val="clear" w:color="auto" w:fill="FFFFFF"/>
        </w:rPr>
        <w:t>2014)</w:t>
      </w:r>
      <w:r w:rsidRPr="00E37B2B">
        <w:rPr>
          <w:rFonts w:eastAsiaTheme="minorEastAsia"/>
          <w:sz w:val="22"/>
          <w:szCs w:val="22"/>
        </w:rPr>
        <w:t> </w:t>
      </w:r>
      <w:r w:rsidRPr="00E37B2B">
        <w:rPr>
          <w:rFonts w:eastAsiaTheme="minorEastAsia"/>
          <w:i/>
          <w:iCs/>
          <w:sz w:val="22"/>
          <w:szCs w:val="22"/>
          <w:bdr w:val="none" w:sz="0" w:space="0" w:color="auto" w:frame="1"/>
          <w:shd w:val="clear" w:color="auto" w:fill="FFFFFF"/>
        </w:rPr>
        <w:t>Arte</w:t>
      </w:r>
      <w:proofErr w:type="gramEnd"/>
      <w:r w:rsidRPr="00E37B2B">
        <w:rPr>
          <w:rFonts w:eastAsiaTheme="minorEastAsia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Contemporânea: o V Congresso CSO'2014.</w:t>
      </w:r>
      <w:r w:rsidRPr="00E37B2B">
        <w:rPr>
          <w:rFonts w:eastAsiaTheme="minorEastAsia"/>
          <w:sz w:val="22"/>
          <w:szCs w:val="22"/>
        </w:rPr>
        <w:t> </w:t>
      </w:r>
      <w:r w:rsidRPr="00E37B2B">
        <w:rPr>
          <w:rFonts w:eastAsiaTheme="minorEastAsia"/>
          <w:sz w:val="22"/>
          <w:szCs w:val="22"/>
          <w:shd w:val="clear" w:color="auto" w:fill="FFFFFF"/>
        </w:rPr>
        <w:t xml:space="preserve">Lisboa: Faculdade de Belas-Artes da Universidade de Lisboa &amp; Centro de Investigação e Estudos em Belas-Artes. 1009 </w:t>
      </w:r>
      <w:proofErr w:type="gramStart"/>
      <w:r w:rsidRPr="00E37B2B">
        <w:rPr>
          <w:rFonts w:eastAsiaTheme="minorEastAsia"/>
          <w:sz w:val="22"/>
          <w:szCs w:val="22"/>
          <w:shd w:val="clear" w:color="auto" w:fill="FFFFFF"/>
        </w:rPr>
        <w:t>pp</w:t>
      </w:r>
      <w:proofErr w:type="gramEnd"/>
      <w:r w:rsidRPr="00E37B2B">
        <w:rPr>
          <w:rFonts w:eastAsiaTheme="minorEastAsia"/>
          <w:sz w:val="22"/>
          <w:szCs w:val="22"/>
          <w:shd w:val="clear" w:color="auto" w:fill="FFFFFF"/>
        </w:rPr>
        <w:t>. ISBN: 978-989-8300-93-5</w:t>
      </w:r>
      <w:r w:rsidRPr="00E37B2B">
        <w:rPr>
          <w:sz w:val="22"/>
          <w:szCs w:val="22"/>
        </w:rPr>
        <w:t xml:space="preserve"> [Consult. 2015-02-18] Disponível em URL: http://cso.fba.ul.pt/atas.htm </w:t>
      </w:r>
    </w:p>
    <w:p w:rsidR="00E37B2B" w:rsidRPr="00E37B2B" w:rsidRDefault="00E37B2B" w:rsidP="00E37B2B">
      <w:pPr>
        <w:widowControl w:val="0"/>
        <w:autoSpaceDE w:val="0"/>
        <w:autoSpaceDN w:val="0"/>
        <w:adjustRightInd w:val="0"/>
        <w:ind w:right="-6"/>
        <w:rPr>
          <w:rFonts w:ascii="TimesNewRomanPSMT" w:eastAsiaTheme="minorEastAsia" w:hAnsi="TimesNewRomanPSMT" w:cs="TimesNewRomanPSMT"/>
          <w:b/>
          <w:bCs/>
        </w:rPr>
      </w:pPr>
    </w:p>
    <w:p w:rsidR="00B07132" w:rsidRPr="00E37B2B" w:rsidRDefault="00B07132" w:rsidP="00E37B2B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Helvetica" w:eastAsiaTheme="minorEastAsia" w:hAnsi="Helvetica" w:cs="Helvetica"/>
          <w:b/>
          <w:bCs/>
          <w:sz w:val="28"/>
          <w:szCs w:val="28"/>
        </w:rPr>
      </w:pPr>
    </w:p>
    <w:sectPr w:rsidR="00B07132" w:rsidRPr="00E37B2B" w:rsidSect="00095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07132"/>
    <w:rsid w:val="00095E85"/>
    <w:rsid w:val="000C1062"/>
    <w:rsid w:val="00127546"/>
    <w:rsid w:val="001655B0"/>
    <w:rsid w:val="001F6E0E"/>
    <w:rsid w:val="002311F2"/>
    <w:rsid w:val="002D6C08"/>
    <w:rsid w:val="00473EFE"/>
    <w:rsid w:val="004F0361"/>
    <w:rsid w:val="00512E6A"/>
    <w:rsid w:val="005315E3"/>
    <w:rsid w:val="005E2B1F"/>
    <w:rsid w:val="006A0B83"/>
    <w:rsid w:val="006B30E0"/>
    <w:rsid w:val="0070326B"/>
    <w:rsid w:val="00721197"/>
    <w:rsid w:val="00744396"/>
    <w:rsid w:val="00750513"/>
    <w:rsid w:val="007F10FB"/>
    <w:rsid w:val="008407A1"/>
    <w:rsid w:val="008B32AB"/>
    <w:rsid w:val="008E691F"/>
    <w:rsid w:val="0095153E"/>
    <w:rsid w:val="00A261D8"/>
    <w:rsid w:val="00A47BB1"/>
    <w:rsid w:val="00AB5C1E"/>
    <w:rsid w:val="00AF5001"/>
    <w:rsid w:val="00B048B7"/>
    <w:rsid w:val="00B07132"/>
    <w:rsid w:val="00B47963"/>
    <w:rsid w:val="00B73081"/>
    <w:rsid w:val="00B82405"/>
    <w:rsid w:val="00C734C9"/>
    <w:rsid w:val="00CE169C"/>
    <w:rsid w:val="00D27951"/>
    <w:rsid w:val="00D86315"/>
    <w:rsid w:val="00D913A2"/>
    <w:rsid w:val="00D95B18"/>
    <w:rsid w:val="00DF156C"/>
    <w:rsid w:val="00DF7AD9"/>
    <w:rsid w:val="00E37B2B"/>
    <w:rsid w:val="00FA2BD0"/>
    <w:rsid w:val="00FD110E"/>
    <w:rsid w:val="00FE35D4"/>
    <w:rsid w:val="00FE3BF0"/>
    <w:rsid w:val="00F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81"/>
    <w:rPr>
      <w:sz w:val="24"/>
      <w:szCs w:val="24"/>
    </w:rPr>
  </w:style>
  <w:style w:type="paragraph" w:styleId="Ttulo1">
    <w:name w:val="heading 1"/>
    <w:basedOn w:val="Normal"/>
    <w:link w:val="Ttulo1Carcter"/>
    <w:uiPriority w:val="9"/>
    <w:qFormat/>
    <w:rsid w:val="000C10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cter"/>
    <w:uiPriority w:val="9"/>
    <w:semiHidden/>
    <w:unhideWhenUsed/>
    <w:qFormat/>
    <w:rsid w:val="000C10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cter"/>
    <w:uiPriority w:val="9"/>
    <w:semiHidden/>
    <w:unhideWhenUsed/>
    <w:qFormat/>
    <w:rsid w:val="008407A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semiHidden/>
    <w:locked/>
    <w:rsid w:val="000C106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locked/>
    <w:rsid w:val="008407A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0C1062"/>
    <w:rPr>
      <w:rFonts w:cs="Times New Roman"/>
      <w:b/>
      <w:bCs/>
    </w:rPr>
  </w:style>
  <w:style w:type="character" w:customStyle="1" w:styleId="Ttulo1Carcter">
    <w:name w:val="Título 1 Carácter"/>
    <w:basedOn w:val="Tipodeletrapredefinidodopargrafo"/>
    <w:link w:val="Ttulo1"/>
    <w:uiPriority w:val="9"/>
    <w:locked/>
    <w:rsid w:val="000C106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7308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071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B0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81"/>
    <w:rPr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0C10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link w:val="Cabealho2Carcter"/>
    <w:uiPriority w:val="9"/>
    <w:semiHidden/>
    <w:unhideWhenUsed/>
    <w:qFormat/>
    <w:rsid w:val="000C10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link w:val="Cabealho3Carcter"/>
    <w:uiPriority w:val="9"/>
    <w:semiHidden/>
    <w:unhideWhenUsed/>
    <w:qFormat/>
    <w:rsid w:val="008407A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locked/>
    <w:rsid w:val="000C106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locked/>
    <w:rsid w:val="008407A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0C1062"/>
    <w:rPr>
      <w:rFonts w:cs="Times New Roman"/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locked/>
    <w:rsid w:val="000C106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7308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071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B07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2014-01-12T15:37:00Z</cp:lastPrinted>
  <dcterms:created xsi:type="dcterms:W3CDTF">2015-04-11T22:31:00Z</dcterms:created>
  <dcterms:modified xsi:type="dcterms:W3CDTF">2015-04-11T22:31:00Z</dcterms:modified>
</cp:coreProperties>
</file>